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i w:val="false"/>
          <w:iCs w:val="false"/>
          <w:color w:val="1A1A2E"/>
          <w:sz w:val="40"/>
          <w:szCs w:val="40"/>
        </w:rPr>
        <w:t xml:space="preserve">L'EURL (SARL à associé unique)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6B6B7B"/>
          <w:sz w:val="22"/>
          <w:szCs w:val="22"/>
        </w:rPr>
        <w:t xml:space="preserve">L'essentiel pour accompagner vos porteurs de projet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A8E8E"/>
          <w:sz w:val="18"/>
          <w:szCs w:val="18"/>
        </w:rPr>
        <w:t xml:space="preserve">Compétences RS6556 : C5 (statut juridique) · C6 (formalités de création)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En un coup d'œil</w:t>
      </w:r>
    </w:p>
    <w:tbl>
      <w:tblPr>
        <w:tblW w:type="dxa" w:w="9000"/>
        <w:tblBorders>
          <w:top w:val="single" w:color="E4E1D6" w:sz="2"/>
          <w:left w:val="single" w:color="E4E1D6" w:sz="2"/>
          <w:bottom w:val="single" w:color="E4E1D6" w:sz="2"/>
          <w:right w:val="single" w:color="E4E1D6" w:sz="2"/>
          <w:insideH w:val="single" w:color="E4E1D6" w:sz="2"/>
          <w:insideV w:val="single" w:color="E4E1D6" w:sz="2"/>
        </w:tblBorders>
      </w:tblPr>
      <w:tblGrid>
        <w:gridCol w:w="3100"/>
        <w:gridCol w:w="5900"/>
      </w:tblGrid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Forme juridique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Société : EURL (SARL à associé unique)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Aussi appelée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SARL unipersonnelle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Nombre d'associés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1 seul (l'associé unique)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Capital minimum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Libre (1 € minimum)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Responsabilité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Limitée aux apports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Dirigeant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Gérant : l'associé unique ou un tiers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Régime social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TNS (SSI) si le gérant est l'associé unique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Imposition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IR par défaut : option IS possible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TVA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Oui (franchise en base sous les seuils)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Comptabilité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Complète (bilan, compte de résultat, annexe)</w:t>
            </w:r>
          </w:p>
        </w:tc>
      </w:tr>
      <w:tr>
        <w:tc>
          <w:tcPr>
            <w:tcW w:type="dxa" w:w="3100"/>
            <w:shd w:fill="F7F7F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1A2E"/>
                <w:sz w:val="19"/>
                <w:szCs w:val="19"/>
              </w:rPr>
              <w:t xml:space="preserve">Plafond CA</w:t>
            </w:r>
          </w:p>
        </w:tc>
        <w:tc>
          <w:tcPr>
            <w:tcW w:type="dxa" w:w="5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1A2E"/>
                <w:sz w:val="19"/>
                <w:szCs w:val="19"/>
              </w:rPr>
              <w:t xml:space="preserve">Aucun</w:t>
            </w:r>
          </w:p>
        </w:tc>
      </w:tr>
    </w:tbl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✅  Idéal pour...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Entreprendre seul en protégeant son patrimoine personnel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Se donner un cadre crédible (Kbis) face aux clients et partenaires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Préparer l'arrivée future d'associés (passage en SARL simple)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Choisir entre IR et IS selon la situation du porteur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Structurer une activité destinée à se développer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❌  Pas adapté si...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Le porteur veut la simplicité maximale (→ micro-entreprise / EI)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Plusieurs associés sont prévus dès le départ (→ SARL)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Le dirigeant souhaite le régime assimilé salarié (→ SASU)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L'activité est très faible ou complémentaire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Le porteur veut éviter la comptabilité complète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Fiscalité &amp; cotisations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Imposition : IR par défaut (le bénéfice est imposé au barème progressif au nom de l'associé unique). Option pour l'IS possible (15 % jusqu'à 42 500 € de bénéfice, 25 % au-delà).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Régime social du dirigeant : gérant associé unique = TNS, affilié à la SSI (cotisations ≈ 40-45 %). Pas d'assurance chômage.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À l'IS, la rémunération du gérant est déductible ; les dividendes au-delà de 10 % du capital sont soumis à cotisations sociales.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Cotisation minimale SSI à anticiper même si le bénéfice est faible.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Démarches de création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Vérifier si l'activité est réglementée et choisir la dénomination sociale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Rédiger les statuts (objet social, capital, gérance, règles de fonctionnement)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Déposer le capital social sur un compte bloqué (banque, notaire ou Caisse des dépôts)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Publier une annonce légale de constitution dans un journal habilité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Déposer le dossier d'immatriculation sur le guichet unique (INPI)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Obtenir le Kbis, le SIREN/SIRET et le code APE</w:t>
      </w:r>
    </w:p>
    <w:p>
      <w:pPr>
        <w:spacing w:after="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0"/>
          <w:szCs w:val="20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Souscrire les assurances obligatoires et demander l'ACRE si éligible (dans les 45 jours)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Points de vigilance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Comptabilité complète obligatoire : expert-comptable vivement recommandé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Formalisme annuel : approbation des comptes, dépôt au greffe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Coût de création (annonce légale, éventuels honoraires) ≈ 200 à 400 €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Le choix IR/IS engage durablement : à arbitrer avec le porteur</w:t>
      </w:r>
    </w:p>
    <w:p>
      <w:pPr>
        <w:pBdr>
          <w:bottom w:val="single" w:color="0A8E8E" w:sz="6" w:space="4"/>
        </w:pBdr>
        <w:spacing w:after="120" w:before="280"/>
      </w:pPr>
      <w:r>
        <w:rPr>
          <w:rFonts w:ascii="Arial" w:cs="Arial" w:eastAsia="Arial" w:hAnsi="Arial"/>
          <w:b/>
          <w:bCs/>
          <w:i w:val="false"/>
          <w:iCs w:val="false"/>
          <w:color w:val="0A8E8E"/>
          <w:sz w:val="26"/>
          <w:szCs w:val="26"/>
        </w:rPr>
        <w:t xml:space="preserve">Avantages clés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Responsabilité limitée aux apports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Crédibilité renforcée (société immatriculée, Kbis)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Flexibilité fiscale : IR par défaut ou option IS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Transmission facilitée par cession de parts sociales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A1A2E"/>
          <w:sz w:val="20"/>
          <w:szCs w:val="20"/>
        </w:rPr>
        <w:t xml:space="preserve">Évolution vers une SARL simple en cas d'arrivée d'associés</w:t>
      </w:r>
    </w:p>
    <w:p>
      <w:pPr>
        <w:spacing w:before="240"/>
      </w:pPr>
    </w:p>
    <w:tbl>
      <w:tblPr>
        <w:tblW w:type="dxa" w:w="90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000"/>
      </w:tblGrid>
      <w:tr>
        <w:tc>
          <w:tcPr>
            <w:tcW w:type="dxa" w:w="9000"/>
            <w:shd w:fill="1A1A2E" w:val="clear"/>
            <w:tcMar>
              <w:top w:type="dxa" w:w="220"/>
              <w:left w:type="dxa" w:w="220"/>
              <w:bottom w:type="dxa" w:w="220"/>
              <w:right w:type="dxa" w:w="220"/>
            </w:tcMar>
          </w:tcPr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Vous accompagnez des porteurs de projet au quotidien ?</w:t>
            </w:r>
          </w:p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9"/>
                <w:szCs w:val="19"/>
              </w:rPr>
              <w:t xml:space="preserve">La certification ProAcc (RS6556) : finançable AIF, OPCO, CPF, CSP</w:t>
            </w:r>
          </w:p>
          <w:p>
            <w:pPr>
              <w:spacing w:after="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18"/>
                <w:szCs w:val="18"/>
              </w:rPr>
              <w:t xml:space="preserve">3 formules : 1 650 € · 2 600 € · 3 300 €    |    100 % distanciel    |    RS6556 active France Compétences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E07B00"/>
                <w:sz w:val="20"/>
                <w:szCs w:val="20"/>
              </w:rPr>
              <w:t xml:space="preserve">Simuler mon financement → creactifs.com/proacc</w:t>
            </w:r>
          </w:p>
        </w:tc>
      </w:tr>
    </w:tbl>
    <w:p>
      <w:pPr>
        <w:spacing w:before="12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6B7B"/>
          <w:sz w:val="15"/>
          <w:szCs w:val="15"/>
        </w:rPr>
        <w:t xml:space="preserve">© CréActifs 2026 · Fiche à jour juin 2026 · creactifs.com · Document réservé aux professionnels de l'accompagnement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2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2026-07-27T08:09:05.203Z</dcterms:created>
  <dcterms:modified xsi:type="dcterms:W3CDTF">2026-07-27T08:09:05.204Z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